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Boxholm kommunfullmäktige</w:t>
      </w:r>
    </w:p>
    <w:p>
      <w:pPr>
        <w:pStyle w:val="Heading1"/>
      </w:pPr>
      <w:r>
        <w:t xml:space="preserve">Utöka cykelvägar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är begränsad enligt Region Östergötland 2024. Cykelvägar saknas mellan Boxholm och närliggande orter, vilket hindrar klimatarbete och pendling.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begär utökad busstrafik till Mjölby och Tranås hos regionen.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avsätter medel för cykelväg Boxholm–Strålsnäs.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om en cykelplan med mål om 20 % ökad cykling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inför lånecykelsystem vid tågstationen.</w:t>
      </w:r>
    </w:p>
    <w:p>
      <w:pPr>
        <w:spacing w:before="360"/>
      </w:pPr>
    </w:p>
    <w:p>
      <w:r>
        <w:t xml:space="preserve">Boxholm,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2026-07-14T02:33:01.624Z</dcterms:created>
  <dcterms:modified xsi:type="dcterms:W3CDTF">2026-07-14T02:33:01.624Z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